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default" w:eastAsia="创艺简"/>
          <w:b/>
          <w:sz w:val="32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default" w:eastAsia="创艺简"/>
          <w:b/>
          <w:sz w:val="32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申报高级3000字以内，申报</w:t>
      </w:r>
      <w:r>
        <w:rPr>
          <w:rFonts w:hint="eastAsia" w:ascii="仿宋" w:hAnsi="仿宋"/>
          <w:bCs/>
          <w:szCs w:val="32"/>
          <w:highlight w:val="none"/>
          <w:lang w:eastAsia="zh-CN"/>
        </w:rPr>
        <w:t>初</w:t>
      </w:r>
      <w:r>
        <w:rPr>
          <w:rFonts w:ascii="仿宋" w:hAnsi="仿宋"/>
          <w:bCs/>
          <w:szCs w:val="32"/>
          <w:highlight w:val="none"/>
        </w:rPr>
        <w:t>中级2000字以内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姓名、学历、取得现专业技术资格名称</w:t>
      </w:r>
      <w:r>
        <w:rPr>
          <w:rFonts w:ascii="仿宋" w:hAnsi="仿宋"/>
          <w:szCs w:val="32"/>
        </w:rPr>
        <w:t>及时间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对取得现资格以来专业技术工作情况进行总结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申报人：（签名）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 核对人：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0688A"/>
    <w:rsid w:val="14696702"/>
    <w:rsid w:val="17A72E44"/>
    <w:rsid w:val="3A092FE1"/>
    <w:rsid w:val="4D5A57B8"/>
    <w:rsid w:val="5510614D"/>
    <w:rsid w:val="5643249C"/>
    <w:rsid w:val="5E3A20C9"/>
    <w:rsid w:val="5EF97FEC"/>
    <w:rsid w:val="6A161906"/>
    <w:rsid w:val="7A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0</TotalTime>
  <ScaleCrop>false</ScaleCrop>
  <LinksUpToDate>false</LinksUpToDate>
  <CharactersWithSpaces>196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2025-04-01T06:26:57Z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